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2022 150 vom 14. November 2022</w:t>
      </w:r>
    </w:p>
    <w:p>
      <w:r>
        <w:t>SZ Gerichte, 2022-11-14, DE</w:t>
      </w:r>
    </w:p>
    <w:p>
      <w:r>
        <w:rPr>
          <w:b/>
        </w:rPr>
        <w:t xml:space="preserve">Quelle: </w:t>
      </w:r>
      <w:r>
        <w:t>https://mcp.opencaselaw.ch/entscheid/sz_gerichte_BEK 2022 150</w:t>
      </w:r>
    </w:p>
    <w:p>
      <w:r>
        <w:t>FR: SZ_GERICHTE BEK 2022 150 du 14 novembre 2022</w:t>
      </w:r>
    </w:p>
    <w:p>
      <w:r>
        <w:t>IT: SZ_GERICHTE BEK 2022 150 del 14 novembre 2022</w:t>
      </w:r>
    </w:p>
    <w:p>
      <w:pPr>
        <w:pStyle w:val="Heading2"/>
      </w:pPr>
      <w:r>
        <w:t>Regeste</w:t>
      </w:r>
    </w:p>
    <w:p>
      <w:r>
        <w:t>Widerhandlungen gegen das Bundesgesetz gegen den unlauteren Wettbewerb (UWG) | Nichtanhandnahme Strafverfahren</w:t>
      </w:r>
    </w:p>
    <w:p>
      <w:pPr>
        <w:pStyle w:val="Heading2"/>
      </w:pPr>
      <w:r>
        <w:t>Erwägungen</w:t>
      </w:r>
    </w:p>
    <w:p>
      <w:r>
        <w:rPr>
          <w:b/>
        </w:rPr>
        <w:t>E. 41</w:t>
      </w:r>
    </w:p>
    <w:p>
      <w:r>
        <w:t>Abs. 1 JG präsidial entschieden werden kann; - gegen gestützt auf Art. 383 Abs. 2 StPO ergangene Nichteintretens- entscheide die Beschwerde in Strafsachen an das Bundesgericht nach Art. 78 ff. BGG offensteht (Schmid/Jositsch, Schweizerische Strafprozessord- nung, Praxiskommentar, 3. A. 2018, Art. 383 StPO N 7);-</w:t>
      </w:r>
    </w:p>
    <w:p>
      <w:r>
        <w:t>Kantonsgericht Schwyz 4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